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85507">
        <w:rPr>
          <w:rFonts w:ascii="Century Gothic" w:hAnsi="Century Gothic"/>
          <w:b/>
          <w:sz w:val="48"/>
          <w:szCs w:val="48"/>
        </w:rPr>
        <w:t>Титова, 238/2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A85507">
        <w:rPr>
          <w:rFonts w:ascii="Century Gothic" w:hAnsi="Century Gothic"/>
          <w:b/>
          <w:bCs/>
          <w:sz w:val="40"/>
          <w:szCs w:val="40"/>
        </w:rPr>
        <w:t xml:space="preserve"> 11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A85507" w:rsidRPr="00A85507" w:rsidRDefault="00A85507" w:rsidP="00A85507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A85507" w:rsidRDefault="00A85507" w:rsidP="00A8550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>
        <w:rPr>
          <w:rFonts w:ascii="Century Gothic" w:hAnsi="Century Gothic"/>
          <w:b/>
          <w:bCs/>
          <w:sz w:val="40"/>
          <w:szCs w:val="40"/>
        </w:rPr>
        <w:t>роснабжения и освещения       28.04 - 29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8550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8550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8550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8550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07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AF2BB-5D5F-4F61-9876-65AA29FA9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2022-04-11T09:54:00Z</dcterms:created>
  <dcterms:modified xsi:type="dcterms:W3CDTF">2022-04-11T09:54:00Z</dcterms:modified>
</cp:coreProperties>
</file>